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83A2" w14:textId="6807C5FD" w:rsidR="00E03F20" w:rsidRDefault="00E03F20" w:rsidP="00E03F20">
      <w:pPr>
        <w:ind w:left="851" w:right="262" w:hanging="567"/>
        <w:jc w:val="center"/>
        <w:rPr>
          <w:rFonts w:asciiTheme="minorHAnsi" w:hAnsiTheme="minorHAnsi"/>
          <w:b/>
          <w:sz w:val="24"/>
          <w:szCs w:val="24"/>
          <w:lang w:val="en-GB"/>
        </w:rPr>
      </w:pPr>
      <w:bookmarkStart w:id="0" w:name="_Hlk35964708"/>
      <w:bookmarkEnd w:id="0"/>
      <w:r>
        <w:rPr>
          <w:noProof/>
        </w:rPr>
        <w:drawing>
          <wp:inline distT="0" distB="0" distL="0" distR="0" wp14:anchorId="0D437A5E" wp14:editId="70BA1A7F">
            <wp:extent cx="19621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609725"/>
                    </a:xfrm>
                    <a:prstGeom prst="rect">
                      <a:avLst/>
                    </a:prstGeom>
                    <a:noFill/>
                  </pic:spPr>
                </pic:pic>
              </a:graphicData>
            </a:graphic>
          </wp:inline>
        </w:drawing>
      </w:r>
    </w:p>
    <w:p w14:paraId="57612B36" w14:textId="20C40AFB" w:rsidR="00012A03" w:rsidRPr="00E03F20" w:rsidRDefault="00012A03" w:rsidP="00E03F20">
      <w:pPr>
        <w:pStyle w:val="Title"/>
        <w:rPr>
          <w:rFonts w:ascii="Lato" w:hAnsi="Lato"/>
          <w:b/>
          <w:bCs/>
          <w:sz w:val="40"/>
          <w:szCs w:val="40"/>
          <w:lang w:val="en-GB"/>
        </w:rPr>
      </w:pPr>
      <w:r w:rsidRPr="00E03F20">
        <w:rPr>
          <w:rFonts w:ascii="Lato" w:hAnsi="Lato"/>
          <w:b/>
          <w:bCs/>
          <w:sz w:val="40"/>
          <w:szCs w:val="40"/>
          <w:lang w:val="en-GB"/>
        </w:rPr>
        <w:t>Procurement Policy</w:t>
      </w:r>
      <w:r w:rsidR="00E03F20" w:rsidRPr="00E03F20">
        <w:rPr>
          <w:rFonts w:ascii="Lato" w:hAnsi="Lato"/>
          <w:b/>
          <w:bCs/>
          <w:sz w:val="40"/>
          <w:szCs w:val="40"/>
          <w:lang w:val="en-GB"/>
        </w:rPr>
        <w:t xml:space="preserve"> – 16-05-20</w:t>
      </w:r>
    </w:p>
    <w:p w14:paraId="1BE60BEA" w14:textId="77777777" w:rsidR="00E03F20" w:rsidRPr="00E03F20" w:rsidRDefault="00E03F20" w:rsidP="00E03F20">
      <w:pPr>
        <w:rPr>
          <w:rFonts w:ascii="Lato" w:hAnsi="Lato"/>
          <w:lang w:val="en-GB"/>
        </w:rPr>
      </w:pPr>
    </w:p>
    <w:p w14:paraId="45C3A583" w14:textId="77777777" w:rsidR="00012A03" w:rsidRPr="00E03F20" w:rsidRDefault="00012A03" w:rsidP="00012A03">
      <w:pPr>
        <w:ind w:left="851" w:right="262" w:hanging="567"/>
        <w:rPr>
          <w:rFonts w:ascii="Lato" w:hAnsi="Lato"/>
          <w:b/>
          <w:sz w:val="24"/>
          <w:szCs w:val="24"/>
          <w:lang w:val="en-GB"/>
        </w:rPr>
      </w:pPr>
    </w:p>
    <w:p w14:paraId="2C0D43EE" w14:textId="1B2546C3" w:rsidR="004263AE" w:rsidRPr="00E03F20" w:rsidRDefault="00012A03" w:rsidP="004263AE">
      <w:pPr>
        <w:pStyle w:val="ListParagraph"/>
        <w:numPr>
          <w:ilvl w:val="1"/>
          <w:numId w:val="2"/>
        </w:numPr>
        <w:ind w:left="709" w:hanging="709"/>
        <w:jc w:val="both"/>
        <w:rPr>
          <w:rFonts w:ascii="Lato" w:hAnsi="Lato" w:cs="Arial"/>
          <w:sz w:val="22"/>
          <w:szCs w:val="22"/>
        </w:rPr>
      </w:pPr>
      <w:r w:rsidRPr="00E03F20">
        <w:rPr>
          <w:rFonts w:ascii="Lato" w:hAnsi="Lato" w:cs="Arial"/>
          <w:sz w:val="22"/>
          <w:szCs w:val="22"/>
        </w:rPr>
        <w:t>The purpose of th</w:t>
      </w:r>
      <w:r w:rsidR="00256270" w:rsidRPr="00E03F20">
        <w:rPr>
          <w:rFonts w:ascii="Lato" w:hAnsi="Lato" w:cs="Arial"/>
          <w:sz w:val="22"/>
          <w:szCs w:val="22"/>
        </w:rPr>
        <w:t xml:space="preserve">is policy is to ensure that Poole Communities Trust is </w:t>
      </w:r>
      <w:r w:rsidRPr="00E03F20">
        <w:rPr>
          <w:rFonts w:ascii="Lato" w:hAnsi="Lato" w:cs="Arial"/>
          <w:sz w:val="22"/>
          <w:szCs w:val="22"/>
        </w:rPr>
        <w:t xml:space="preserve">transparent in the way that it acquires goods and services from suppliers that are </w:t>
      </w:r>
      <w:r w:rsidR="00256270" w:rsidRPr="00E03F20">
        <w:rPr>
          <w:rFonts w:ascii="Lato" w:hAnsi="Lato" w:cs="Arial"/>
          <w:sz w:val="22"/>
          <w:szCs w:val="22"/>
        </w:rPr>
        <w:t>high quality</w:t>
      </w:r>
      <w:r w:rsidR="004B6494" w:rsidRPr="00E03F20">
        <w:rPr>
          <w:rFonts w:ascii="Lato" w:hAnsi="Lato" w:cs="Arial"/>
          <w:sz w:val="22"/>
          <w:szCs w:val="22"/>
        </w:rPr>
        <w:t xml:space="preserve"> and value for money.</w:t>
      </w:r>
      <w:r w:rsidRPr="00E03F20">
        <w:rPr>
          <w:rFonts w:ascii="Lato" w:hAnsi="Lato" w:cs="Arial"/>
          <w:sz w:val="22"/>
          <w:szCs w:val="22"/>
        </w:rPr>
        <w:t xml:space="preserve"> Where possible </w:t>
      </w:r>
      <w:r w:rsidR="00256270" w:rsidRPr="00E03F20">
        <w:rPr>
          <w:rFonts w:ascii="Lato" w:hAnsi="Lato" w:cs="Arial"/>
          <w:sz w:val="22"/>
          <w:szCs w:val="22"/>
        </w:rPr>
        <w:t xml:space="preserve">Poole Communities Trust </w:t>
      </w:r>
      <w:r w:rsidRPr="00E03F20">
        <w:rPr>
          <w:rFonts w:ascii="Lato" w:hAnsi="Lato" w:cs="Arial"/>
          <w:sz w:val="22"/>
          <w:szCs w:val="22"/>
        </w:rPr>
        <w:t>aims to encourage positive social and environmental impact through its procurement of goods and services.</w:t>
      </w:r>
    </w:p>
    <w:p w14:paraId="0ABB66F8" w14:textId="77777777" w:rsidR="004263AE" w:rsidRPr="00E03F20" w:rsidRDefault="004263AE" w:rsidP="004263AE">
      <w:pPr>
        <w:pStyle w:val="ListParagraph"/>
        <w:ind w:left="709"/>
        <w:jc w:val="both"/>
        <w:rPr>
          <w:rFonts w:ascii="Lato" w:hAnsi="Lato" w:cs="Arial"/>
          <w:sz w:val="22"/>
          <w:szCs w:val="22"/>
        </w:rPr>
      </w:pPr>
    </w:p>
    <w:p w14:paraId="65AFEA70" w14:textId="1F264CBF" w:rsidR="000E7D87" w:rsidRPr="00E03F20" w:rsidRDefault="00256270" w:rsidP="004263AE">
      <w:pPr>
        <w:pStyle w:val="ListParagraph"/>
        <w:numPr>
          <w:ilvl w:val="1"/>
          <w:numId w:val="2"/>
        </w:numPr>
        <w:ind w:left="709" w:hanging="709"/>
        <w:jc w:val="both"/>
        <w:rPr>
          <w:rFonts w:ascii="Lato" w:hAnsi="Lato" w:cs="Arial"/>
          <w:sz w:val="22"/>
          <w:szCs w:val="22"/>
        </w:rPr>
      </w:pPr>
      <w:r w:rsidRPr="00E03F20">
        <w:rPr>
          <w:rFonts w:ascii="Lato" w:hAnsi="Lato" w:cs="Arial"/>
          <w:sz w:val="22"/>
          <w:szCs w:val="22"/>
        </w:rPr>
        <w:t xml:space="preserve">Poole Communities Trust </w:t>
      </w:r>
      <w:r w:rsidR="00012A03" w:rsidRPr="00E03F20">
        <w:rPr>
          <w:rFonts w:ascii="Lato" w:hAnsi="Lato" w:cs="Arial"/>
          <w:sz w:val="22"/>
          <w:szCs w:val="22"/>
        </w:rPr>
        <w:t>will take the following steps in support of this policy:</w:t>
      </w:r>
      <w:r w:rsidR="000E7D87" w:rsidRPr="00E03F20">
        <w:rPr>
          <w:rFonts w:ascii="Lato" w:hAnsi="Lato" w:cs="Arial"/>
          <w:sz w:val="22"/>
          <w:szCs w:val="22"/>
        </w:rPr>
        <w:br/>
      </w:r>
    </w:p>
    <w:p w14:paraId="4B0D4B99" w14:textId="77777777" w:rsidR="000E7D87" w:rsidRPr="00E03F20" w:rsidRDefault="00012A03" w:rsidP="000E7D87">
      <w:pPr>
        <w:pStyle w:val="ListParagraph"/>
        <w:numPr>
          <w:ilvl w:val="1"/>
          <w:numId w:val="2"/>
        </w:numPr>
        <w:ind w:left="709" w:hanging="709"/>
        <w:jc w:val="both"/>
        <w:rPr>
          <w:rFonts w:ascii="Lato" w:hAnsi="Lato" w:cs="Arial"/>
          <w:sz w:val="22"/>
          <w:szCs w:val="22"/>
        </w:rPr>
      </w:pPr>
      <w:r w:rsidRPr="00E03F20">
        <w:rPr>
          <w:rFonts w:ascii="Lato" w:hAnsi="Lato" w:cs="Arial"/>
          <w:sz w:val="22"/>
          <w:szCs w:val="22"/>
        </w:rPr>
        <w:t xml:space="preserve">Suppliers list /register: </w:t>
      </w:r>
    </w:p>
    <w:p w14:paraId="006EF413" w14:textId="77777777" w:rsidR="005F5447" w:rsidRPr="00E03F20" w:rsidRDefault="00256270" w:rsidP="005F5447">
      <w:pPr>
        <w:ind w:left="709" w:firstLine="10"/>
        <w:jc w:val="both"/>
        <w:rPr>
          <w:rFonts w:ascii="Lato" w:hAnsi="Lato" w:cs="Arial"/>
          <w:sz w:val="22"/>
          <w:szCs w:val="22"/>
        </w:rPr>
      </w:pPr>
      <w:r w:rsidRPr="00E03F20">
        <w:rPr>
          <w:rFonts w:ascii="Lato" w:hAnsi="Lato" w:cs="Arial"/>
          <w:sz w:val="22"/>
          <w:szCs w:val="22"/>
        </w:rPr>
        <w:t xml:space="preserve">Poole Communities Trust </w:t>
      </w:r>
      <w:r w:rsidR="00012A03" w:rsidRPr="00E03F20">
        <w:rPr>
          <w:rFonts w:ascii="Lato" w:hAnsi="Lato" w:cs="Arial"/>
          <w:sz w:val="22"/>
          <w:szCs w:val="22"/>
        </w:rPr>
        <w:t>will aim to develop a diverse list of suppliers and contractors, including so</w:t>
      </w:r>
      <w:r w:rsidR="004B6494" w:rsidRPr="00E03F20">
        <w:rPr>
          <w:rFonts w:ascii="Lato" w:hAnsi="Lato" w:cs="Arial"/>
          <w:sz w:val="22"/>
          <w:szCs w:val="22"/>
        </w:rPr>
        <w:t>cial and community enterprises.</w:t>
      </w:r>
      <w:r w:rsidR="00012A03" w:rsidRPr="00E03F20">
        <w:rPr>
          <w:rFonts w:ascii="Lato" w:hAnsi="Lato" w:cs="Arial"/>
          <w:sz w:val="22"/>
          <w:szCs w:val="22"/>
        </w:rPr>
        <w:t xml:space="preserve"> </w:t>
      </w:r>
    </w:p>
    <w:p w14:paraId="0DA235B5" w14:textId="77777777" w:rsidR="005F5447" w:rsidRPr="00E03F20" w:rsidRDefault="005F5447" w:rsidP="005F5447">
      <w:pPr>
        <w:ind w:left="709" w:firstLine="10"/>
        <w:jc w:val="both"/>
        <w:rPr>
          <w:rFonts w:ascii="Lato" w:hAnsi="Lato" w:cs="Arial"/>
          <w:sz w:val="22"/>
          <w:szCs w:val="22"/>
        </w:rPr>
      </w:pPr>
    </w:p>
    <w:p w14:paraId="1ECECA9A" w14:textId="77777777" w:rsidR="00E0243B" w:rsidRPr="00E03F20" w:rsidRDefault="00012A03" w:rsidP="00E0243B">
      <w:pPr>
        <w:pStyle w:val="ListParagraph"/>
        <w:numPr>
          <w:ilvl w:val="1"/>
          <w:numId w:val="2"/>
        </w:numPr>
        <w:ind w:left="709" w:hanging="709"/>
        <w:jc w:val="both"/>
        <w:rPr>
          <w:rFonts w:ascii="Lato" w:hAnsi="Lato" w:cs="Arial"/>
          <w:sz w:val="22"/>
          <w:szCs w:val="22"/>
        </w:rPr>
      </w:pPr>
      <w:r w:rsidRPr="00E03F20">
        <w:rPr>
          <w:rFonts w:ascii="Lato" w:hAnsi="Lato" w:cs="Arial"/>
          <w:sz w:val="22"/>
          <w:szCs w:val="22"/>
        </w:rPr>
        <w:t>Monitoring and Evaluation:</w:t>
      </w:r>
    </w:p>
    <w:p w14:paraId="0E3F1161" w14:textId="14A1D253" w:rsidR="00E0243B" w:rsidRPr="00E03F20" w:rsidRDefault="00012A03" w:rsidP="00E0243B">
      <w:pPr>
        <w:pStyle w:val="ListParagraph"/>
        <w:ind w:left="709"/>
        <w:jc w:val="both"/>
        <w:rPr>
          <w:rFonts w:ascii="Lato" w:hAnsi="Lato" w:cs="Arial"/>
          <w:sz w:val="22"/>
          <w:szCs w:val="22"/>
        </w:rPr>
      </w:pPr>
      <w:r w:rsidRPr="00E03F20">
        <w:rPr>
          <w:rFonts w:ascii="Lato" w:hAnsi="Lato" w:cs="Arial"/>
          <w:sz w:val="22"/>
          <w:szCs w:val="22"/>
        </w:rPr>
        <w:t>All contracts and tenders will be assessed and monitored against criteria that will include:</w:t>
      </w:r>
    </w:p>
    <w:p w14:paraId="248A5F87" w14:textId="77777777" w:rsidR="00E0243B" w:rsidRPr="00E03F20" w:rsidRDefault="00E0243B" w:rsidP="00E0243B">
      <w:pPr>
        <w:numPr>
          <w:ilvl w:val="0"/>
          <w:numId w:val="1"/>
        </w:numPr>
        <w:ind w:left="2500"/>
        <w:jc w:val="both"/>
        <w:rPr>
          <w:rFonts w:ascii="Lato" w:hAnsi="Lato" w:cs="Arial"/>
          <w:sz w:val="22"/>
          <w:szCs w:val="22"/>
        </w:rPr>
      </w:pPr>
      <w:r w:rsidRPr="00E03F20">
        <w:rPr>
          <w:rFonts w:ascii="Lato" w:hAnsi="Lato" w:cs="Arial"/>
          <w:sz w:val="22"/>
          <w:szCs w:val="22"/>
        </w:rPr>
        <w:t>quality</w:t>
      </w:r>
    </w:p>
    <w:p w14:paraId="6B7F74BD" w14:textId="77777777" w:rsidR="00E0243B" w:rsidRPr="00E03F20" w:rsidRDefault="00E0243B" w:rsidP="00E0243B">
      <w:pPr>
        <w:numPr>
          <w:ilvl w:val="0"/>
          <w:numId w:val="1"/>
        </w:numPr>
        <w:ind w:left="2500"/>
        <w:jc w:val="both"/>
        <w:rPr>
          <w:rFonts w:ascii="Lato" w:hAnsi="Lato" w:cs="Arial"/>
          <w:sz w:val="22"/>
          <w:szCs w:val="22"/>
        </w:rPr>
      </w:pPr>
      <w:r w:rsidRPr="00E03F20">
        <w:rPr>
          <w:rFonts w:ascii="Lato" w:hAnsi="Lato" w:cs="Arial"/>
          <w:sz w:val="22"/>
          <w:szCs w:val="22"/>
        </w:rPr>
        <w:t>value for money</w:t>
      </w:r>
    </w:p>
    <w:p w14:paraId="13AE676E" w14:textId="77777777" w:rsidR="00E0243B" w:rsidRPr="00E03F20" w:rsidRDefault="00E0243B" w:rsidP="00E0243B">
      <w:pPr>
        <w:numPr>
          <w:ilvl w:val="0"/>
          <w:numId w:val="1"/>
        </w:numPr>
        <w:ind w:left="2500"/>
        <w:jc w:val="both"/>
        <w:rPr>
          <w:rFonts w:ascii="Lato" w:hAnsi="Lato" w:cs="Arial"/>
          <w:sz w:val="22"/>
          <w:szCs w:val="22"/>
        </w:rPr>
      </w:pPr>
      <w:r w:rsidRPr="00E03F20">
        <w:rPr>
          <w:rFonts w:ascii="Lato" w:hAnsi="Lato" w:cs="Arial"/>
          <w:sz w:val="22"/>
          <w:szCs w:val="22"/>
        </w:rPr>
        <w:t xml:space="preserve">social, </w:t>
      </w:r>
      <w:proofErr w:type="gramStart"/>
      <w:r w:rsidRPr="00E03F20">
        <w:rPr>
          <w:rFonts w:ascii="Lato" w:hAnsi="Lato" w:cs="Arial"/>
          <w:sz w:val="22"/>
          <w:szCs w:val="22"/>
        </w:rPr>
        <w:t>environmental</w:t>
      </w:r>
      <w:proofErr w:type="gramEnd"/>
      <w:r w:rsidRPr="00E03F20">
        <w:rPr>
          <w:rFonts w:ascii="Lato" w:hAnsi="Lato" w:cs="Arial"/>
          <w:sz w:val="22"/>
          <w:szCs w:val="22"/>
        </w:rPr>
        <w:t xml:space="preserve"> and economic impacts</w:t>
      </w:r>
    </w:p>
    <w:p w14:paraId="24C2A8AD" w14:textId="77777777" w:rsidR="00E0243B" w:rsidRPr="00E03F20" w:rsidRDefault="00E0243B" w:rsidP="00E0243B">
      <w:pPr>
        <w:numPr>
          <w:ilvl w:val="0"/>
          <w:numId w:val="1"/>
        </w:numPr>
        <w:ind w:left="2500"/>
        <w:jc w:val="both"/>
        <w:rPr>
          <w:rFonts w:ascii="Lato" w:hAnsi="Lato" w:cs="Arial"/>
          <w:sz w:val="22"/>
          <w:szCs w:val="22"/>
        </w:rPr>
      </w:pPr>
      <w:r w:rsidRPr="00E03F20">
        <w:rPr>
          <w:rFonts w:ascii="Lato" w:hAnsi="Lato" w:cs="Arial"/>
          <w:sz w:val="22"/>
          <w:szCs w:val="22"/>
        </w:rPr>
        <w:t>relationships</w:t>
      </w:r>
    </w:p>
    <w:p w14:paraId="5ACDB3C9" w14:textId="77777777" w:rsidR="00E0243B" w:rsidRPr="00E03F20" w:rsidRDefault="00E0243B" w:rsidP="00E0243B">
      <w:pPr>
        <w:numPr>
          <w:ilvl w:val="0"/>
          <w:numId w:val="1"/>
        </w:numPr>
        <w:ind w:left="2500"/>
        <w:jc w:val="both"/>
        <w:rPr>
          <w:rFonts w:ascii="Lato" w:hAnsi="Lato" w:cs="Arial"/>
          <w:sz w:val="22"/>
          <w:szCs w:val="22"/>
        </w:rPr>
      </w:pPr>
      <w:r w:rsidRPr="00E03F20">
        <w:rPr>
          <w:rFonts w:ascii="Lato" w:hAnsi="Lato" w:cs="Arial"/>
          <w:sz w:val="22"/>
          <w:szCs w:val="22"/>
        </w:rPr>
        <w:t>timescales</w:t>
      </w:r>
    </w:p>
    <w:p w14:paraId="2D7A9A47" w14:textId="2077160A" w:rsidR="00E0243B" w:rsidRPr="00E03F20" w:rsidRDefault="00E0243B" w:rsidP="00E0243B">
      <w:pPr>
        <w:pStyle w:val="ListParagraph"/>
        <w:ind w:left="709"/>
        <w:jc w:val="both"/>
        <w:rPr>
          <w:rFonts w:ascii="Lato" w:hAnsi="Lato" w:cs="Arial"/>
          <w:sz w:val="22"/>
          <w:szCs w:val="22"/>
        </w:rPr>
      </w:pPr>
    </w:p>
    <w:p w14:paraId="1140B355" w14:textId="143441E3"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cs="Arial"/>
          <w:sz w:val="22"/>
          <w:szCs w:val="22"/>
        </w:rPr>
        <w:t xml:space="preserve">Amendments to this procurement procedure will be made with the agreement of the </w:t>
      </w:r>
      <w:r w:rsidR="00256270" w:rsidRPr="00E03F20">
        <w:rPr>
          <w:rFonts w:ascii="Lato" w:hAnsi="Lato" w:cs="Arial"/>
          <w:sz w:val="22"/>
          <w:szCs w:val="22"/>
        </w:rPr>
        <w:t xml:space="preserve">Poole Communities Trust </w:t>
      </w:r>
      <w:r w:rsidRPr="00E03F20">
        <w:rPr>
          <w:rFonts w:ascii="Lato" w:hAnsi="Lato" w:cs="Arial"/>
          <w:sz w:val="22"/>
          <w:szCs w:val="22"/>
        </w:rPr>
        <w:t>Board.</w:t>
      </w:r>
    </w:p>
    <w:p w14:paraId="3FE62EF5" w14:textId="77777777" w:rsidR="005D6CB4" w:rsidRPr="00E03F20" w:rsidRDefault="005D6CB4" w:rsidP="005D6CB4">
      <w:pPr>
        <w:pStyle w:val="ListParagraph"/>
        <w:ind w:left="709"/>
        <w:jc w:val="both"/>
        <w:rPr>
          <w:rFonts w:ascii="Lato" w:hAnsi="Lato" w:cs="Arial"/>
          <w:sz w:val="24"/>
          <w:szCs w:val="24"/>
        </w:rPr>
      </w:pPr>
    </w:p>
    <w:p w14:paraId="20C67E8C" w14:textId="79F17A1A" w:rsidR="005D6CB4" w:rsidRPr="00E03F20" w:rsidRDefault="00012A03" w:rsidP="005D6CB4">
      <w:pPr>
        <w:pStyle w:val="ListParagraph"/>
        <w:ind w:left="709"/>
        <w:jc w:val="both"/>
        <w:rPr>
          <w:rFonts w:ascii="Lato" w:hAnsi="Lato" w:cs="Arial"/>
          <w:b/>
          <w:sz w:val="24"/>
          <w:szCs w:val="24"/>
        </w:rPr>
      </w:pPr>
      <w:r w:rsidRPr="00E03F20">
        <w:rPr>
          <w:rFonts w:ascii="Lato" w:hAnsi="Lato"/>
          <w:b/>
          <w:sz w:val="24"/>
          <w:lang w:val="en-GB"/>
        </w:rPr>
        <w:t xml:space="preserve">Procurement </w:t>
      </w:r>
    </w:p>
    <w:p w14:paraId="048C12C0" w14:textId="2F10BDC0"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Subject to procurement requirements imposed by grant or other funders as a condition of funding, all procurement by </w:t>
      </w:r>
      <w:r w:rsidR="00256270" w:rsidRPr="00E03F20">
        <w:rPr>
          <w:rFonts w:ascii="Lato" w:hAnsi="Lato"/>
          <w:sz w:val="22"/>
          <w:szCs w:val="22"/>
          <w:lang w:val="en-GB"/>
        </w:rPr>
        <w:t xml:space="preserve">Poole Communities Trust </w:t>
      </w:r>
      <w:r w:rsidRPr="00E03F20">
        <w:rPr>
          <w:rFonts w:ascii="Lato" w:hAnsi="Lato"/>
          <w:sz w:val="22"/>
          <w:szCs w:val="22"/>
          <w:lang w:val="en-GB"/>
        </w:rPr>
        <w:t>shall be conducted in line with the procurement policy above and the following procedures:</w:t>
      </w:r>
      <w:r w:rsidR="005D6CB4" w:rsidRPr="00E03F20">
        <w:rPr>
          <w:rFonts w:ascii="Lato" w:hAnsi="Lato"/>
          <w:sz w:val="22"/>
          <w:szCs w:val="22"/>
          <w:lang w:val="en-GB"/>
        </w:rPr>
        <w:br/>
      </w:r>
    </w:p>
    <w:p w14:paraId="5E43076C" w14:textId="77777777" w:rsidR="005D6CB4" w:rsidRPr="00E03F20" w:rsidRDefault="005D6CB4" w:rsidP="005D6CB4">
      <w:pPr>
        <w:pStyle w:val="ListParagraph"/>
        <w:numPr>
          <w:ilvl w:val="0"/>
          <w:numId w:val="1"/>
        </w:numPr>
        <w:jc w:val="both"/>
        <w:rPr>
          <w:rFonts w:ascii="Lato" w:hAnsi="Lato"/>
          <w:sz w:val="22"/>
          <w:szCs w:val="22"/>
          <w:lang w:val="en-GB"/>
        </w:rPr>
      </w:pPr>
      <w:r w:rsidRPr="00E03F20">
        <w:rPr>
          <w:rFonts w:ascii="Lato" w:hAnsi="Lato"/>
          <w:sz w:val="22"/>
          <w:szCs w:val="22"/>
          <w:lang w:val="en-GB"/>
        </w:rPr>
        <w:t xml:space="preserve">For orders between £2,000 and £5,000 (including VAT) two quotes are </w:t>
      </w:r>
      <w:proofErr w:type="gramStart"/>
      <w:r w:rsidRPr="00E03F20">
        <w:rPr>
          <w:rFonts w:ascii="Lato" w:hAnsi="Lato"/>
          <w:sz w:val="22"/>
          <w:szCs w:val="22"/>
          <w:lang w:val="en-GB"/>
        </w:rPr>
        <w:t>required;</w:t>
      </w:r>
      <w:proofErr w:type="gramEnd"/>
      <w:r w:rsidRPr="00E03F20">
        <w:rPr>
          <w:rFonts w:ascii="Lato" w:hAnsi="Lato"/>
          <w:sz w:val="22"/>
          <w:szCs w:val="22"/>
          <w:lang w:val="en-GB"/>
        </w:rPr>
        <w:t xml:space="preserve"> </w:t>
      </w:r>
    </w:p>
    <w:p w14:paraId="752A1B3E" w14:textId="77777777" w:rsidR="005D6CB4" w:rsidRPr="00E03F20" w:rsidRDefault="005D6CB4" w:rsidP="005D6CB4">
      <w:pPr>
        <w:pStyle w:val="ListParagraph"/>
        <w:numPr>
          <w:ilvl w:val="0"/>
          <w:numId w:val="1"/>
        </w:numPr>
        <w:jc w:val="both"/>
        <w:rPr>
          <w:rFonts w:ascii="Lato" w:hAnsi="Lato"/>
          <w:sz w:val="22"/>
          <w:szCs w:val="22"/>
          <w:lang w:val="en-GB"/>
        </w:rPr>
      </w:pPr>
      <w:r w:rsidRPr="00E03F20">
        <w:rPr>
          <w:rFonts w:ascii="Lato" w:hAnsi="Lato"/>
          <w:sz w:val="22"/>
          <w:szCs w:val="22"/>
          <w:lang w:val="en-GB"/>
        </w:rPr>
        <w:t xml:space="preserve">For orders between £5,001 and £10,000 (including VAT) three quotes are </w:t>
      </w:r>
      <w:proofErr w:type="gramStart"/>
      <w:r w:rsidRPr="00E03F20">
        <w:rPr>
          <w:rFonts w:ascii="Lato" w:hAnsi="Lato"/>
          <w:sz w:val="22"/>
          <w:szCs w:val="22"/>
          <w:lang w:val="en-GB"/>
        </w:rPr>
        <w:t>required;</w:t>
      </w:r>
      <w:proofErr w:type="gramEnd"/>
      <w:r w:rsidRPr="00E03F20">
        <w:rPr>
          <w:rFonts w:ascii="Lato" w:hAnsi="Lato"/>
          <w:sz w:val="22"/>
          <w:szCs w:val="22"/>
          <w:lang w:val="en-GB"/>
        </w:rPr>
        <w:t xml:space="preserve"> </w:t>
      </w:r>
    </w:p>
    <w:p w14:paraId="14A48932" w14:textId="74C643F6" w:rsidR="005D6CB4" w:rsidRPr="00E03F20" w:rsidRDefault="005D6CB4" w:rsidP="005D6CB4">
      <w:pPr>
        <w:pStyle w:val="ListParagraph"/>
        <w:numPr>
          <w:ilvl w:val="0"/>
          <w:numId w:val="1"/>
        </w:numPr>
        <w:jc w:val="both"/>
        <w:rPr>
          <w:rFonts w:ascii="Lato" w:hAnsi="Lato"/>
          <w:sz w:val="22"/>
          <w:szCs w:val="22"/>
          <w:lang w:val="en-GB"/>
        </w:rPr>
      </w:pPr>
      <w:r w:rsidRPr="00E03F20">
        <w:rPr>
          <w:rFonts w:ascii="Lato" w:hAnsi="Lato"/>
          <w:sz w:val="22"/>
          <w:szCs w:val="22"/>
          <w:lang w:val="en-GB"/>
        </w:rPr>
        <w:t xml:space="preserve">For orders over £10,000 or a formal tendering process should be used. </w:t>
      </w:r>
    </w:p>
    <w:p w14:paraId="345D9E6E" w14:textId="304C3123" w:rsidR="005D6CB4" w:rsidRPr="00E03F20" w:rsidRDefault="005D6CB4" w:rsidP="00256270">
      <w:pPr>
        <w:jc w:val="both"/>
        <w:rPr>
          <w:rFonts w:ascii="Lato" w:hAnsi="Lato" w:cs="Arial"/>
          <w:sz w:val="22"/>
          <w:szCs w:val="22"/>
        </w:rPr>
      </w:pPr>
      <w:r w:rsidRPr="00E03F20">
        <w:rPr>
          <w:rFonts w:ascii="Lato" w:hAnsi="Lato"/>
          <w:sz w:val="22"/>
          <w:szCs w:val="22"/>
          <w:lang w:val="en-GB"/>
        </w:rPr>
        <w:br/>
      </w:r>
    </w:p>
    <w:p w14:paraId="3F0FBEA0" w14:textId="0EEE4DDD" w:rsidR="005D6CB4" w:rsidRPr="00E03F20" w:rsidRDefault="00256270"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Poole Communities Trust </w:t>
      </w:r>
      <w:r w:rsidR="00012A03" w:rsidRPr="00E03F20">
        <w:rPr>
          <w:rFonts w:ascii="Lato" w:hAnsi="Lato"/>
          <w:sz w:val="22"/>
          <w:szCs w:val="22"/>
          <w:lang w:val="en-GB"/>
        </w:rPr>
        <w:t xml:space="preserve">accepts that the lowest price resulting from tenders or quotations will not necessarily provide the best value for money. All procurement decisions should be made in accordance with the procurement policy in </w:t>
      </w:r>
      <w:r w:rsidR="00FE021A" w:rsidRPr="00E03F20">
        <w:rPr>
          <w:rFonts w:ascii="Lato" w:hAnsi="Lato"/>
          <w:sz w:val="22"/>
          <w:szCs w:val="22"/>
          <w:lang w:val="en-GB"/>
        </w:rPr>
        <w:t>1.1</w:t>
      </w:r>
      <w:r w:rsidR="00012A03" w:rsidRPr="00E03F20">
        <w:rPr>
          <w:rFonts w:ascii="Lato" w:hAnsi="Lato"/>
          <w:sz w:val="22"/>
          <w:szCs w:val="22"/>
          <w:lang w:val="en-GB"/>
        </w:rPr>
        <w:t xml:space="preserve"> to </w:t>
      </w:r>
      <w:r w:rsidR="00FE021A" w:rsidRPr="00E03F20">
        <w:rPr>
          <w:rFonts w:ascii="Lato" w:hAnsi="Lato"/>
          <w:sz w:val="22"/>
          <w:szCs w:val="22"/>
          <w:lang w:val="en-GB"/>
        </w:rPr>
        <w:t>1.5</w:t>
      </w:r>
      <w:r w:rsidR="00012A03" w:rsidRPr="00E03F20">
        <w:rPr>
          <w:rFonts w:ascii="Lato" w:hAnsi="Lato"/>
          <w:sz w:val="22"/>
          <w:szCs w:val="22"/>
          <w:lang w:val="en-GB"/>
        </w:rPr>
        <w:t>. Where the lowest quote is not accepted, the reasons for choosing a higher price should be documented.</w:t>
      </w:r>
      <w:r w:rsidR="00012A03" w:rsidRPr="00E03F20">
        <w:rPr>
          <w:rFonts w:ascii="Lato" w:hAnsi="Lato"/>
          <w:sz w:val="22"/>
          <w:szCs w:val="22"/>
        </w:rPr>
        <w:t xml:space="preserve"> </w:t>
      </w:r>
    </w:p>
    <w:p w14:paraId="63A890B5" w14:textId="5A10DF35" w:rsidR="005D6CB4" w:rsidRPr="00E03F20" w:rsidRDefault="005D6CB4" w:rsidP="005D6CB4">
      <w:pPr>
        <w:pStyle w:val="ListParagraph"/>
        <w:ind w:left="360"/>
        <w:jc w:val="both"/>
        <w:rPr>
          <w:rFonts w:ascii="Lato" w:hAnsi="Lato" w:cs="Arial"/>
          <w:sz w:val="22"/>
          <w:szCs w:val="22"/>
        </w:rPr>
      </w:pPr>
    </w:p>
    <w:p w14:paraId="0F4A6CBF" w14:textId="77777777"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All quotes and tender submission will be filed for reference purposes for the duration of the service or contract period. </w:t>
      </w:r>
    </w:p>
    <w:p w14:paraId="353A892B" w14:textId="77777777" w:rsidR="005D6CB4" w:rsidRPr="00E03F20" w:rsidRDefault="005D6CB4" w:rsidP="005D6CB4">
      <w:pPr>
        <w:pStyle w:val="ListParagraph"/>
        <w:rPr>
          <w:rFonts w:ascii="Lato" w:hAnsi="Lato"/>
          <w:sz w:val="22"/>
          <w:szCs w:val="22"/>
          <w:lang w:val="en-GB"/>
        </w:rPr>
      </w:pPr>
    </w:p>
    <w:p w14:paraId="1E87FEE8" w14:textId="58CD06F6"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The procedure in </w:t>
      </w:r>
      <w:r w:rsidR="00524515" w:rsidRPr="00E03F20">
        <w:rPr>
          <w:rFonts w:ascii="Lato" w:hAnsi="Lato"/>
          <w:sz w:val="22"/>
          <w:szCs w:val="22"/>
          <w:lang w:val="en-GB"/>
        </w:rPr>
        <w:t>1.6</w:t>
      </w:r>
      <w:r w:rsidRPr="00E03F20">
        <w:rPr>
          <w:rFonts w:ascii="Lato" w:hAnsi="Lato"/>
          <w:sz w:val="22"/>
          <w:szCs w:val="22"/>
          <w:lang w:val="en-GB"/>
        </w:rPr>
        <w:t xml:space="preserve"> will be applied to project contractors where practical.</w:t>
      </w:r>
    </w:p>
    <w:p w14:paraId="624ACAB8" w14:textId="77777777" w:rsidR="005D6CB4" w:rsidRPr="00E03F20" w:rsidRDefault="005D6CB4" w:rsidP="005D6CB4">
      <w:pPr>
        <w:pStyle w:val="ListParagraph"/>
        <w:rPr>
          <w:rFonts w:ascii="Lato" w:hAnsi="Lato"/>
          <w:sz w:val="22"/>
          <w:szCs w:val="22"/>
          <w:lang w:val="en-GB"/>
        </w:rPr>
      </w:pPr>
    </w:p>
    <w:p w14:paraId="4808BB35" w14:textId="10BC9FBC"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Recurring expenditure does not require multiple quotations or tender on renewal. Recurrent expenditure is defined as:</w:t>
      </w:r>
    </w:p>
    <w:p w14:paraId="1450CCCC" w14:textId="77777777" w:rsidR="005D6CB4" w:rsidRPr="00E03F20" w:rsidRDefault="005D6CB4" w:rsidP="005D6CB4">
      <w:pPr>
        <w:pStyle w:val="ListParagraph"/>
        <w:rPr>
          <w:rFonts w:ascii="Lato" w:hAnsi="Lato" w:cs="Arial"/>
          <w:sz w:val="22"/>
          <w:szCs w:val="22"/>
        </w:rPr>
      </w:pPr>
    </w:p>
    <w:p w14:paraId="396DEA03" w14:textId="77777777" w:rsidR="005D6CB4" w:rsidRPr="00E03F20" w:rsidRDefault="005D6CB4" w:rsidP="005D6CB4">
      <w:pPr>
        <w:pStyle w:val="ListParagraph"/>
        <w:numPr>
          <w:ilvl w:val="0"/>
          <w:numId w:val="1"/>
        </w:numPr>
        <w:ind w:right="262"/>
        <w:rPr>
          <w:rFonts w:ascii="Lato" w:hAnsi="Lato"/>
          <w:sz w:val="22"/>
          <w:szCs w:val="22"/>
          <w:lang w:val="en-GB"/>
        </w:rPr>
      </w:pPr>
      <w:r w:rsidRPr="00E03F20">
        <w:rPr>
          <w:rFonts w:ascii="Lato" w:hAnsi="Lato"/>
          <w:sz w:val="22"/>
          <w:szCs w:val="22"/>
          <w:lang w:val="en-GB"/>
        </w:rPr>
        <w:t>Insurance</w:t>
      </w:r>
    </w:p>
    <w:p w14:paraId="1546227E" w14:textId="77777777" w:rsidR="005D6CB4" w:rsidRPr="00E03F20" w:rsidRDefault="005D6CB4" w:rsidP="005D6CB4">
      <w:pPr>
        <w:pStyle w:val="ListParagraph"/>
        <w:numPr>
          <w:ilvl w:val="0"/>
          <w:numId w:val="1"/>
        </w:numPr>
        <w:ind w:right="262"/>
        <w:rPr>
          <w:rFonts w:ascii="Lato" w:hAnsi="Lato"/>
          <w:sz w:val="22"/>
          <w:szCs w:val="22"/>
          <w:lang w:val="en-GB"/>
        </w:rPr>
      </w:pPr>
      <w:r w:rsidRPr="00E03F20">
        <w:rPr>
          <w:rFonts w:ascii="Lato" w:hAnsi="Lato"/>
          <w:sz w:val="22"/>
          <w:szCs w:val="22"/>
          <w:lang w:val="en-GB"/>
        </w:rPr>
        <w:t xml:space="preserve">Rent </w:t>
      </w:r>
    </w:p>
    <w:p w14:paraId="371B53C4" w14:textId="77777777" w:rsidR="005D6CB4" w:rsidRPr="00E03F20" w:rsidRDefault="005D6CB4" w:rsidP="005D6CB4">
      <w:pPr>
        <w:pStyle w:val="ListParagraph"/>
        <w:numPr>
          <w:ilvl w:val="0"/>
          <w:numId w:val="1"/>
        </w:numPr>
        <w:ind w:right="262"/>
        <w:rPr>
          <w:rFonts w:ascii="Lato" w:hAnsi="Lato"/>
          <w:sz w:val="22"/>
          <w:szCs w:val="22"/>
          <w:lang w:val="en-GB"/>
        </w:rPr>
      </w:pPr>
      <w:r w:rsidRPr="00E03F20">
        <w:rPr>
          <w:rFonts w:ascii="Lato" w:hAnsi="Lato"/>
          <w:sz w:val="22"/>
          <w:szCs w:val="22"/>
          <w:lang w:val="en-GB"/>
        </w:rPr>
        <w:t>Utility payments for light and heat, general rates, water rates, and telephone</w:t>
      </w:r>
    </w:p>
    <w:p w14:paraId="45B98427" w14:textId="77777777" w:rsidR="005D6CB4" w:rsidRPr="00E03F20" w:rsidRDefault="005D6CB4" w:rsidP="005D6CB4">
      <w:pPr>
        <w:pStyle w:val="ListParagraph"/>
        <w:numPr>
          <w:ilvl w:val="0"/>
          <w:numId w:val="1"/>
        </w:numPr>
        <w:ind w:right="262"/>
        <w:rPr>
          <w:rFonts w:ascii="Lato" w:hAnsi="Lato"/>
          <w:sz w:val="22"/>
          <w:szCs w:val="22"/>
          <w:lang w:val="en-GB"/>
        </w:rPr>
      </w:pPr>
      <w:r w:rsidRPr="00E03F20">
        <w:rPr>
          <w:rFonts w:ascii="Lato" w:hAnsi="Lato"/>
          <w:sz w:val="22"/>
          <w:szCs w:val="22"/>
          <w:lang w:val="en-GB"/>
        </w:rPr>
        <w:t>IT support and other service contracts</w:t>
      </w:r>
    </w:p>
    <w:p w14:paraId="11A8B26D" w14:textId="5AD558B8" w:rsidR="005D6CB4" w:rsidRPr="00E03F20" w:rsidRDefault="005D6CB4" w:rsidP="005D6CB4">
      <w:pPr>
        <w:pStyle w:val="ListParagraph"/>
        <w:numPr>
          <w:ilvl w:val="0"/>
          <w:numId w:val="1"/>
        </w:numPr>
        <w:ind w:right="262"/>
        <w:rPr>
          <w:rFonts w:ascii="Lato" w:hAnsi="Lato"/>
          <w:sz w:val="22"/>
          <w:szCs w:val="22"/>
          <w:lang w:val="en-GB"/>
        </w:rPr>
      </w:pPr>
      <w:r w:rsidRPr="00E03F20">
        <w:rPr>
          <w:rFonts w:ascii="Lato" w:hAnsi="Lato"/>
          <w:sz w:val="22"/>
          <w:szCs w:val="22"/>
          <w:lang w:val="en-GB"/>
        </w:rPr>
        <w:t>Audit fees</w:t>
      </w:r>
      <w:r w:rsidRPr="00E03F20">
        <w:rPr>
          <w:rFonts w:ascii="Lato" w:hAnsi="Lato"/>
          <w:sz w:val="22"/>
          <w:szCs w:val="22"/>
          <w:lang w:val="en-GB"/>
        </w:rPr>
        <w:br/>
      </w:r>
      <w:r w:rsidRPr="00E03F20">
        <w:rPr>
          <w:rFonts w:ascii="Lato" w:hAnsi="Lato"/>
          <w:sz w:val="22"/>
          <w:szCs w:val="22"/>
          <w:lang w:val="en-GB"/>
        </w:rPr>
        <w:br/>
        <w:t xml:space="preserve">These amounts may be paid by standing order or direct debit, in accordance with the above authorisation procedures. </w:t>
      </w:r>
    </w:p>
    <w:p w14:paraId="2F48BB93" w14:textId="77777777" w:rsidR="005D6CB4" w:rsidRPr="00E03F20" w:rsidRDefault="005D6CB4" w:rsidP="005D6CB4">
      <w:pPr>
        <w:pStyle w:val="ListParagraph"/>
        <w:ind w:left="709"/>
        <w:jc w:val="both"/>
        <w:rPr>
          <w:rFonts w:ascii="Lato" w:hAnsi="Lato" w:cs="Arial"/>
          <w:sz w:val="22"/>
          <w:szCs w:val="22"/>
        </w:rPr>
      </w:pPr>
    </w:p>
    <w:p w14:paraId="1202AFE8" w14:textId="77777777" w:rsidR="005D6CB4" w:rsidRPr="00E03F20" w:rsidRDefault="005D6CB4" w:rsidP="005D6CB4">
      <w:pPr>
        <w:pStyle w:val="ListParagraph"/>
        <w:rPr>
          <w:rFonts w:ascii="Lato" w:hAnsi="Lato"/>
          <w:sz w:val="22"/>
          <w:szCs w:val="22"/>
          <w:lang w:val="en-GB"/>
        </w:rPr>
      </w:pPr>
    </w:p>
    <w:p w14:paraId="6AE19DF3" w14:textId="3278E02B"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Any long term or recurring purchase commitments should be reviewed at least once every three years in line with the procedures in section </w:t>
      </w:r>
      <w:r w:rsidR="00C252B9" w:rsidRPr="00E03F20">
        <w:rPr>
          <w:rFonts w:ascii="Lato" w:hAnsi="Lato"/>
          <w:sz w:val="22"/>
          <w:szCs w:val="22"/>
          <w:lang w:val="en-GB"/>
        </w:rPr>
        <w:t>1.6</w:t>
      </w:r>
      <w:r w:rsidRPr="00E03F20">
        <w:rPr>
          <w:rFonts w:ascii="Lato" w:hAnsi="Lato"/>
          <w:sz w:val="22"/>
          <w:szCs w:val="22"/>
          <w:lang w:val="en-GB"/>
        </w:rPr>
        <w:t>.</w:t>
      </w:r>
      <w:r w:rsidR="005D6CB4" w:rsidRPr="00E03F20">
        <w:rPr>
          <w:rFonts w:ascii="Lato" w:hAnsi="Lato"/>
          <w:sz w:val="22"/>
          <w:szCs w:val="22"/>
          <w:lang w:val="en-GB"/>
        </w:rPr>
        <w:br/>
      </w:r>
    </w:p>
    <w:p w14:paraId="460DEC1C" w14:textId="55813DA1" w:rsidR="005D6CB4" w:rsidRPr="00E03F20" w:rsidRDefault="00012A03" w:rsidP="005D6CB4">
      <w:pPr>
        <w:pStyle w:val="ListParagraph"/>
        <w:ind w:left="709"/>
        <w:jc w:val="both"/>
        <w:rPr>
          <w:rFonts w:ascii="Lato" w:hAnsi="Lato" w:cs="Arial"/>
          <w:sz w:val="22"/>
          <w:szCs w:val="22"/>
        </w:rPr>
      </w:pPr>
      <w:r w:rsidRPr="00E03F20">
        <w:rPr>
          <w:rFonts w:ascii="Lato" w:hAnsi="Lato"/>
          <w:b/>
          <w:sz w:val="22"/>
          <w:szCs w:val="22"/>
          <w:lang w:val="en-GB"/>
        </w:rPr>
        <w:t>Capital expenditure</w:t>
      </w:r>
    </w:p>
    <w:p w14:paraId="2B2AEF14" w14:textId="579F7224" w:rsidR="0045791B" w:rsidRPr="00E03F20" w:rsidRDefault="00256270" w:rsidP="0045791B">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The Board of the Poole Communities Trust must first approve </w:t>
      </w:r>
      <w:r w:rsidR="005F5447" w:rsidRPr="00E03F20">
        <w:rPr>
          <w:rFonts w:ascii="Lato" w:hAnsi="Lato"/>
          <w:sz w:val="22"/>
          <w:szCs w:val="22"/>
          <w:lang w:val="en-GB"/>
        </w:rPr>
        <w:t xml:space="preserve">a capital </w:t>
      </w:r>
      <w:r w:rsidRPr="00E03F20">
        <w:rPr>
          <w:rFonts w:ascii="Lato" w:hAnsi="Lato"/>
          <w:sz w:val="22"/>
          <w:szCs w:val="22"/>
          <w:lang w:val="en-GB"/>
        </w:rPr>
        <w:t>project</w:t>
      </w:r>
      <w:r w:rsidR="00012A03" w:rsidRPr="00E03F20">
        <w:rPr>
          <w:rFonts w:ascii="Lato" w:hAnsi="Lato"/>
          <w:sz w:val="22"/>
          <w:szCs w:val="22"/>
          <w:lang w:val="en-GB"/>
        </w:rPr>
        <w:t xml:space="preserve"> before any individual </w:t>
      </w:r>
      <w:r w:rsidR="005F5447" w:rsidRPr="00E03F20">
        <w:rPr>
          <w:rFonts w:ascii="Lato" w:hAnsi="Lato"/>
          <w:sz w:val="22"/>
          <w:szCs w:val="22"/>
          <w:lang w:val="en-GB"/>
        </w:rPr>
        <w:t>expenditure can be</w:t>
      </w:r>
      <w:r w:rsidR="00012A03" w:rsidRPr="00E03F20">
        <w:rPr>
          <w:rFonts w:ascii="Lato" w:hAnsi="Lato"/>
          <w:sz w:val="22"/>
          <w:szCs w:val="22"/>
          <w:lang w:val="en-GB"/>
        </w:rPr>
        <w:t xml:space="preserve"> authorised. The proposal to </w:t>
      </w:r>
      <w:r w:rsidRPr="00E03F20">
        <w:rPr>
          <w:rFonts w:ascii="Lato" w:hAnsi="Lato"/>
          <w:sz w:val="22"/>
          <w:szCs w:val="22"/>
          <w:lang w:val="en-GB"/>
        </w:rPr>
        <w:t>the B</w:t>
      </w:r>
      <w:r w:rsidR="00012A03" w:rsidRPr="00E03F20">
        <w:rPr>
          <w:rFonts w:ascii="Lato" w:hAnsi="Lato"/>
          <w:sz w:val="22"/>
          <w:szCs w:val="22"/>
          <w:lang w:val="en-GB"/>
        </w:rPr>
        <w:t xml:space="preserve">oard should be supported by a clear business/charity justification including a business case. </w:t>
      </w:r>
    </w:p>
    <w:p w14:paraId="775B09DE" w14:textId="77777777" w:rsidR="005F5447" w:rsidRPr="00E03F20" w:rsidRDefault="005F5447" w:rsidP="005F5447">
      <w:pPr>
        <w:pStyle w:val="ListParagraph"/>
        <w:ind w:left="709"/>
        <w:jc w:val="both"/>
        <w:rPr>
          <w:rFonts w:ascii="Lato" w:hAnsi="Lato" w:cs="Arial"/>
          <w:sz w:val="22"/>
          <w:szCs w:val="22"/>
        </w:rPr>
      </w:pPr>
    </w:p>
    <w:p w14:paraId="52E89ECC" w14:textId="72BD0F4E"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The business case should include any potential impact on future running and maintenance costs as well as income generation</w:t>
      </w:r>
      <w:r w:rsidR="005D6CB4" w:rsidRPr="00E03F20">
        <w:rPr>
          <w:rFonts w:ascii="Lato" w:hAnsi="Lato"/>
          <w:sz w:val="22"/>
          <w:szCs w:val="22"/>
          <w:lang w:val="en-GB"/>
        </w:rPr>
        <w:t>.</w:t>
      </w:r>
    </w:p>
    <w:p w14:paraId="267042EE" w14:textId="77777777" w:rsidR="005D6CB4" w:rsidRPr="00E03F20" w:rsidRDefault="005D6CB4" w:rsidP="005D6CB4">
      <w:pPr>
        <w:pStyle w:val="ListParagraph"/>
        <w:ind w:left="709"/>
        <w:jc w:val="both"/>
        <w:rPr>
          <w:rFonts w:ascii="Lato" w:hAnsi="Lato" w:cs="Arial"/>
          <w:sz w:val="22"/>
          <w:szCs w:val="22"/>
        </w:rPr>
      </w:pPr>
    </w:p>
    <w:p w14:paraId="4B6CC2C6" w14:textId="2FFAC67C" w:rsidR="005D6CB4" w:rsidRPr="00E03F20" w:rsidRDefault="00012A03" w:rsidP="005D6CB4">
      <w:pPr>
        <w:pStyle w:val="ListParagraph"/>
        <w:numPr>
          <w:ilvl w:val="1"/>
          <w:numId w:val="2"/>
        </w:numPr>
        <w:ind w:left="709" w:hanging="709"/>
        <w:jc w:val="both"/>
        <w:rPr>
          <w:rFonts w:ascii="Lato" w:hAnsi="Lato"/>
          <w:sz w:val="22"/>
          <w:szCs w:val="22"/>
          <w:lang w:val="en-GB"/>
        </w:rPr>
      </w:pPr>
      <w:r w:rsidRPr="00E03F20">
        <w:rPr>
          <w:rFonts w:ascii="Lato" w:hAnsi="Lato"/>
          <w:sz w:val="22"/>
          <w:szCs w:val="22"/>
          <w:lang w:val="en-GB"/>
        </w:rPr>
        <w:t>The authorisation from</w:t>
      </w:r>
      <w:r w:rsidR="005F5447" w:rsidRPr="00E03F20">
        <w:rPr>
          <w:rFonts w:ascii="Lato" w:hAnsi="Lato"/>
          <w:sz w:val="22"/>
          <w:szCs w:val="22"/>
          <w:lang w:val="en-GB"/>
        </w:rPr>
        <w:t xml:space="preserve"> the B</w:t>
      </w:r>
      <w:r w:rsidRPr="00E03F20">
        <w:rPr>
          <w:rFonts w:ascii="Lato" w:hAnsi="Lato"/>
          <w:sz w:val="22"/>
          <w:szCs w:val="22"/>
          <w:lang w:val="en-GB"/>
        </w:rPr>
        <w:t>oard should include specific budget allocations for the different elements (such as for building refurbishments, equipment etc). Once the capital proj</w:t>
      </w:r>
      <w:r w:rsidR="005F5447" w:rsidRPr="00E03F20">
        <w:rPr>
          <w:rFonts w:ascii="Lato" w:hAnsi="Lato"/>
          <w:sz w:val="22"/>
          <w:szCs w:val="22"/>
          <w:lang w:val="en-GB"/>
        </w:rPr>
        <w:t>ect has been authorised by the B</w:t>
      </w:r>
      <w:r w:rsidRPr="00E03F20">
        <w:rPr>
          <w:rFonts w:ascii="Lato" w:hAnsi="Lato"/>
          <w:sz w:val="22"/>
          <w:szCs w:val="22"/>
          <w:lang w:val="en-GB"/>
        </w:rPr>
        <w:t xml:space="preserve">oard then before an order is actually placed for goods or services, a Purchase Order Form must be </w:t>
      </w:r>
      <w:proofErr w:type="gramStart"/>
      <w:r w:rsidRPr="00E03F20">
        <w:rPr>
          <w:rFonts w:ascii="Lato" w:hAnsi="Lato"/>
          <w:sz w:val="22"/>
          <w:szCs w:val="22"/>
          <w:lang w:val="en-GB"/>
        </w:rPr>
        <w:t>completed</w:t>
      </w:r>
      <w:proofErr w:type="gramEnd"/>
      <w:r w:rsidRPr="00E03F20">
        <w:rPr>
          <w:rFonts w:ascii="Lato" w:hAnsi="Lato"/>
          <w:sz w:val="22"/>
          <w:szCs w:val="22"/>
          <w:lang w:val="en-GB"/>
        </w:rPr>
        <w:t xml:space="preserve"> and this must be authorised by the </w:t>
      </w:r>
      <w:r w:rsidR="005F5447" w:rsidRPr="00E03F20">
        <w:rPr>
          <w:rFonts w:ascii="Lato" w:hAnsi="Lato"/>
          <w:sz w:val="22"/>
          <w:szCs w:val="22"/>
          <w:lang w:val="en-GB"/>
        </w:rPr>
        <w:t xml:space="preserve">Chair. </w:t>
      </w:r>
    </w:p>
    <w:p w14:paraId="241AAB22" w14:textId="5BF417E7"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The purchase order should be supported as appropriate by a relevant (draft) contract and any </w:t>
      </w:r>
      <w:r w:rsidR="005F5447" w:rsidRPr="00E03F20">
        <w:rPr>
          <w:rFonts w:ascii="Lato" w:hAnsi="Lato"/>
          <w:sz w:val="22"/>
          <w:szCs w:val="22"/>
          <w:lang w:val="en-GB"/>
        </w:rPr>
        <w:t>non-standard</w:t>
      </w:r>
      <w:r w:rsidRPr="00E03F20">
        <w:rPr>
          <w:rFonts w:ascii="Lato" w:hAnsi="Lato"/>
          <w:sz w:val="22"/>
          <w:szCs w:val="22"/>
          <w:lang w:val="en-GB"/>
        </w:rPr>
        <w:t xml:space="preserve"> terms and conditions. It should also indicate the expected useful life of the asset.</w:t>
      </w:r>
    </w:p>
    <w:p w14:paraId="3921E2A6" w14:textId="77777777" w:rsidR="005D6CB4" w:rsidRPr="00E03F20" w:rsidRDefault="005D6CB4" w:rsidP="005D6CB4">
      <w:pPr>
        <w:pStyle w:val="ListParagraph"/>
        <w:ind w:left="709"/>
        <w:jc w:val="both"/>
        <w:rPr>
          <w:rFonts w:ascii="Lato" w:hAnsi="Lato" w:cs="Arial"/>
          <w:sz w:val="22"/>
          <w:szCs w:val="22"/>
        </w:rPr>
      </w:pPr>
    </w:p>
    <w:p w14:paraId="676FFBD7" w14:textId="13D04E52"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 xml:space="preserve">The Purchase Order Form is retained and matched against the corresponding invoice by the </w:t>
      </w:r>
      <w:r w:rsidR="005F5447" w:rsidRPr="00E03F20">
        <w:rPr>
          <w:rFonts w:ascii="Lato" w:hAnsi="Lato"/>
          <w:sz w:val="22"/>
          <w:szCs w:val="22"/>
          <w:lang w:val="en-GB"/>
        </w:rPr>
        <w:t xml:space="preserve">Accountant </w:t>
      </w:r>
      <w:r w:rsidRPr="00E03F20">
        <w:rPr>
          <w:rFonts w:ascii="Lato" w:hAnsi="Lato"/>
          <w:sz w:val="22"/>
          <w:szCs w:val="22"/>
          <w:lang w:val="en-GB"/>
        </w:rPr>
        <w:t>when it is received.</w:t>
      </w:r>
    </w:p>
    <w:p w14:paraId="4E1D5F4A" w14:textId="77777777" w:rsidR="005D6CB4" w:rsidRPr="00E03F20" w:rsidRDefault="005D6CB4" w:rsidP="005D6CB4">
      <w:pPr>
        <w:pStyle w:val="ListParagraph"/>
        <w:rPr>
          <w:rFonts w:ascii="Lato" w:hAnsi="Lato"/>
          <w:sz w:val="22"/>
          <w:szCs w:val="22"/>
          <w:lang w:val="en-GB"/>
        </w:rPr>
      </w:pPr>
    </w:p>
    <w:p w14:paraId="2DE9E35A" w14:textId="3DEFF27D" w:rsidR="005D6CB4" w:rsidRPr="00E03F20" w:rsidRDefault="005F5447"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The Chair or</w:t>
      </w:r>
      <w:r w:rsidR="00012A03" w:rsidRPr="00E03F20">
        <w:rPr>
          <w:rFonts w:ascii="Lato" w:hAnsi="Lato"/>
          <w:sz w:val="22"/>
          <w:szCs w:val="22"/>
          <w:lang w:val="en-GB"/>
        </w:rPr>
        <w:t xml:space="preserve"> any employee cannot authorise payment to themselves, </w:t>
      </w:r>
      <w:proofErr w:type="gramStart"/>
      <w:r w:rsidR="00012A03" w:rsidRPr="00E03F20">
        <w:rPr>
          <w:rFonts w:ascii="Lato" w:hAnsi="Lato"/>
          <w:sz w:val="22"/>
          <w:szCs w:val="22"/>
          <w:lang w:val="en-GB"/>
        </w:rPr>
        <w:t>partners</w:t>
      </w:r>
      <w:proofErr w:type="gramEnd"/>
      <w:r w:rsidR="00012A03" w:rsidRPr="00E03F20">
        <w:rPr>
          <w:rFonts w:ascii="Lato" w:hAnsi="Lato"/>
          <w:sz w:val="22"/>
          <w:szCs w:val="22"/>
          <w:lang w:val="en-GB"/>
        </w:rPr>
        <w:t xml:space="preserve"> or relatives.</w:t>
      </w:r>
    </w:p>
    <w:p w14:paraId="00C3C872" w14:textId="77777777" w:rsidR="005D6CB4" w:rsidRPr="00E03F20" w:rsidRDefault="005D6CB4" w:rsidP="005D6CB4">
      <w:pPr>
        <w:pStyle w:val="ListParagraph"/>
        <w:rPr>
          <w:rFonts w:ascii="Lato" w:hAnsi="Lato"/>
          <w:sz w:val="22"/>
          <w:szCs w:val="22"/>
          <w:lang w:val="en-GB"/>
        </w:rPr>
      </w:pPr>
    </w:p>
    <w:p w14:paraId="724D7EEF" w14:textId="16F9C014" w:rsidR="005D6CB4"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t>For individual or linked orders of over £2,000 (including VAT), two quotes are required.  For orders over £5,000 (including VAT), three quotes are needed. All quotes to be filed for reference purposes for the duration of the service or contract period. This procedure will also be applied to project contractors where practical.</w:t>
      </w:r>
    </w:p>
    <w:p w14:paraId="220B9B4D" w14:textId="77777777" w:rsidR="005D6CB4" w:rsidRPr="00E03F20" w:rsidRDefault="005D6CB4" w:rsidP="005D6CB4">
      <w:pPr>
        <w:pStyle w:val="ListParagraph"/>
        <w:rPr>
          <w:rFonts w:ascii="Lato" w:hAnsi="Lato"/>
          <w:sz w:val="22"/>
          <w:szCs w:val="22"/>
          <w:lang w:val="en-GB"/>
        </w:rPr>
      </w:pPr>
    </w:p>
    <w:p w14:paraId="4C144B27" w14:textId="77E82C82" w:rsidR="00012A03" w:rsidRPr="00E03F20" w:rsidRDefault="00012A03" w:rsidP="005D6CB4">
      <w:pPr>
        <w:pStyle w:val="ListParagraph"/>
        <w:numPr>
          <w:ilvl w:val="1"/>
          <w:numId w:val="2"/>
        </w:numPr>
        <w:ind w:left="709" w:hanging="709"/>
        <w:jc w:val="both"/>
        <w:rPr>
          <w:rFonts w:ascii="Lato" w:hAnsi="Lato" w:cs="Arial"/>
          <w:sz w:val="22"/>
          <w:szCs w:val="22"/>
        </w:rPr>
      </w:pPr>
      <w:r w:rsidRPr="00E03F20">
        <w:rPr>
          <w:rFonts w:ascii="Lato" w:hAnsi="Lato"/>
          <w:sz w:val="22"/>
          <w:szCs w:val="22"/>
          <w:lang w:val="en-GB"/>
        </w:rPr>
        <w:lastRenderedPageBreak/>
        <w:t xml:space="preserve">Where the total of the order is for more than £20,000 then a tender specification should be issued for either an open tender or to </w:t>
      </w:r>
      <w:proofErr w:type="gramStart"/>
      <w:r w:rsidRPr="00E03F20">
        <w:rPr>
          <w:rFonts w:ascii="Lato" w:hAnsi="Lato"/>
          <w:sz w:val="22"/>
          <w:szCs w:val="22"/>
          <w:lang w:val="en-GB"/>
        </w:rPr>
        <w:t>a n</w:t>
      </w:r>
      <w:r w:rsidR="005F5447" w:rsidRPr="00E03F20">
        <w:rPr>
          <w:rFonts w:ascii="Lato" w:hAnsi="Lato"/>
          <w:sz w:val="22"/>
          <w:szCs w:val="22"/>
          <w:lang w:val="en-GB"/>
        </w:rPr>
        <w:t>umber of</w:t>
      </w:r>
      <w:proofErr w:type="gramEnd"/>
      <w:r w:rsidR="005F5447" w:rsidRPr="00E03F20">
        <w:rPr>
          <w:rFonts w:ascii="Lato" w:hAnsi="Lato"/>
          <w:sz w:val="22"/>
          <w:szCs w:val="22"/>
          <w:lang w:val="en-GB"/>
        </w:rPr>
        <w:t xml:space="preserve"> suppliers. The B</w:t>
      </w:r>
      <w:r w:rsidRPr="00E03F20">
        <w:rPr>
          <w:rFonts w:ascii="Lato" w:hAnsi="Lato"/>
          <w:sz w:val="22"/>
          <w:szCs w:val="22"/>
          <w:lang w:val="en-GB"/>
        </w:rPr>
        <w:t>oard must approve any such potential order.</w:t>
      </w:r>
    </w:p>
    <w:p w14:paraId="4193E385" w14:textId="77777777" w:rsidR="0008422E" w:rsidRPr="00E03F20" w:rsidRDefault="0008422E">
      <w:pPr>
        <w:rPr>
          <w:rFonts w:ascii="Lato" w:hAnsi="Lato"/>
        </w:rPr>
      </w:pPr>
    </w:p>
    <w:p w14:paraId="143379A2" w14:textId="159E6716" w:rsidR="00310D35" w:rsidRPr="00E03F20" w:rsidRDefault="00310D35" w:rsidP="00310D35">
      <w:pPr>
        <w:pStyle w:val="ListParagraph"/>
        <w:numPr>
          <w:ilvl w:val="0"/>
          <w:numId w:val="2"/>
        </w:numPr>
        <w:rPr>
          <w:rFonts w:ascii="Lato" w:hAnsi="Lato"/>
          <w:b/>
          <w:sz w:val="24"/>
          <w:szCs w:val="24"/>
        </w:rPr>
      </w:pPr>
      <w:r w:rsidRPr="00E03F20">
        <w:rPr>
          <w:rFonts w:ascii="Lato" w:hAnsi="Lato"/>
          <w:b/>
          <w:sz w:val="24"/>
          <w:szCs w:val="24"/>
        </w:rPr>
        <w:t xml:space="preserve">Policy approval and review </w:t>
      </w:r>
    </w:p>
    <w:p w14:paraId="60BB2B68" w14:textId="635BFECB" w:rsidR="00310D35" w:rsidRPr="00E03F20" w:rsidRDefault="00310D35" w:rsidP="00310D35">
      <w:pPr>
        <w:ind w:left="360"/>
        <w:rPr>
          <w:rFonts w:ascii="Lato" w:hAnsi="Lato"/>
          <w:sz w:val="24"/>
          <w:szCs w:val="24"/>
        </w:rPr>
      </w:pPr>
    </w:p>
    <w:p w14:paraId="656D1326" w14:textId="468BA8EB" w:rsidR="00310D35" w:rsidRPr="00E03F20" w:rsidRDefault="00310D35" w:rsidP="00310D35">
      <w:pPr>
        <w:ind w:left="360"/>
        <w:rPr>
          <w:rFonts w:ascii="Lato" w:hAnsi="Lato"/>
          <w:sz w:val="22"/>
          <w:szCs w:val="22"/>
        </w:rPr>
      </w:pPr>
      <w:r w:rsidRPr="00E03F20">
        <w:rPr>
          <w:rFonts w:ascii="Lato" w:hAnsi="Lato"/>
          <w:sz w:val="22"/>
          <w:szCs w:val="22"/>
        </w:rPr>
        <w:t xml:space="preserve">This policy will be reviewed by Trustees on regular basis to ensure it remains complete, </w:t>
      </w:r>
      <w:proofErr w:type="gramStart"/>
      <w:r w:rsidRPr="00E03F20">
        <w:rPr>
          <w:rFonts w:ascii="Lato" w:hAnsi="Lato"/>
          <w:sz w:val="22"/>
          <w:szCs w:val="22"/>
        </w:rPr>
        <w:t>current</w:t>
      </w:r>
      <w:proofErr w:type="gramEnd"/>
      <w:r w:rsidRPr="00E03F20">
        <w:rPr>
          <w:rFonts w:ascii="Lato" w:hAnsi="Lato"/>
          <w:sz w:val="22"/>
          <w:szCs w:val="22"/>
        </w:rPr>
        <w:t xml:space="preserve"> and aligned to the Poole Communities Trust’s procurement activity. </w:t>
      </w:r>
    </w:p>
    <w:p w14:paraId="76DC26EB" w14:textId="77777777" w:rsidR="00310D35" w:rsidRPr="00E03F20" w:rsidRDefault="00310D35" w:rsidP="00310D35">
      <w:pPr>
        <w:ind w:left="360"/>
        <w:rPr>
          <w:rFonts w:ascii="Lato" w:hAnsi="Lato"/>
          <w:sz w:val="22"/>
          <w:szCs w:val="22"/>
        </w:rPr>
      </w:pPr>
    </w:p>
    <w:p w14:paraId="76CE069F" w14:textId="5F657772" w:rsidR="00310D35" w:rsidRPr="00E03F20" w:rsidRDefault="00310D35" w:rsidP="00310D35">
      <w:pPr>
        <w:ind w:left="360"/>
        <w:rPr>
          <w:rFonts w:ascii="Lato" w:hAnsi="Lato"/>
          <w:sz w:val="22"/>
          <w:szCs w:val="22"/>
        </w:rPr>
      </w:pPr>
      <w:r w:rsidRPr="00E03F20">
        <w:rPr>
          <w:rFonts w:ascii="Lato" w:hAnsi="Lato"/>
          <w:sz w:val="22"/>
          <w:szCs w:val="22"/>
        </w:rPr>
        <w:t>Date policy agreed by Trustees: January 2020</w:t>
      </w:r>
    </w:p>
    <w:p w14:paraId="52A44C1F" w14:textId="59F7378D" w:rsidR="00310D35" w:rsidRPr="00E03F20" w:rsidRDefault="00310D35" w:rsidP="00310D35">
      <w:pPr>
        <w:ind w:left="360"/>
        <w:rPr>
          <w:rFonts w:ascii="Lato" w:hAnsi="Lato"/>
          <w:sz w:val="22"/>
          <w:szCs w:val="22"/>
        </w:rPr>
      </w:pPr>
      <w:r w:rsidRPr="00E03F20">
        <w:rPr>
          <w:rFonts w:ascii="Lato" w:hAnsi="Lato"/>
          <w:sz w:val="22"/>
          <w:szCs w:val="22"/>
        </w:rPr>
        <w:t>Next policy review date: January 2022</w:t>
      </w:r>
    </w:p>
    <w:p w14:paraId="150381F9" w14:textId="77777777" w:rsidR="00310D35" w:rsidRPr="00E03F20" w:rsidRDefault="00310D35" w:rsidP="00310D35">
      <w:pPr>
        <w:ind w:left="360"/>
        <w:rPr>
          <w:rFonts w:ascii="Lato" w:hAnsi="Lato"/>
          <w:sz w:val="24"/>
          <w:szCs w:val="24"/>
        </w:rPr>
      </w:pPr>
    </w:p>
    <w:p w14:paraId="58E0E856" w14:textId="77777777" w:rsidR="00310D35" w:rsidRPr="00E03F20" w:rsidRDefault="00310D35" w:rsidP="00310D35">
      <w:pPr>
        <w:ind w:left="360"/>
        <w:rPr>
          <w:rFonts w:ascii="Lato" w:hAnsi="Lato"/>
          <w:sz w:val="24"/>
          <w:szCs w:val="24"/>
        </w:rPr>
      </w:pPr>
    </w:p>
    <w:p w14:paraId="5B4AA98E" w14:textId="24848C32" w:rsidR="00310D35" w:rsidRPr="00E03F20" w:rsidRDefault="00310D35" w:rsidP="00310D35">
      <w:pPr>
        <w:ind w:left="360"/>
        <w:rPr>
          <w:rFonts w:ascii="Lato" w:hAnsi="Lato"/>
          <w:sz w:val="24"/>
          <w:szCs w:val="24"/>
        </w:rPr>
      </w:pPr>
      <w:r w:rsidRPr="00E03F20">
        <w:rPr>
          <w:rFonts w:ascii="Lato" w:hAnsi="Lato"/>
          <w:sz w:val="24"/>
          <w:szCs w:val="24"/>
        </w:rPr>
        <w:t xml:space="preserve"> </w:t>
      </w:r>
    </w:p>
    <w:p w14:paraId="77F15DD9" w14:textId="077D0CAD" w:rsidR="00310D35" w:rsidRPr="00E03F20" w:rsidRDefault="00310D35" w:rsidP="00310D35">
      <w:pPr>
        <w:rPr>
          <w:rFonts w:ascii="Lato" w:hAnsi="Lato"/>
          <w:sz w:val="24"/>
          <w:szCs w:val="24"/>
        </w:rPr>
      </w:pPr>
      <w:r w:rsidRPr="00E03F20">
        <w:rPr>
          <w:rFonts w:ascii="Lato" w:hAnsi="Lato"/>
          <w:sz w:val="24"/>
          <w:szCs w:val="24"/>
        </w:rPr>
        <w:t xml:space="preserve"> </w:t>
      </w:r>
    </w:p>
    <w:p w14:paraId="3FBB75AE" w14:textId="77777777" w:rsidR="00310D35" w:rsidRPr="00E03F20" w:rsidRDefault="00310D35" w:rsidP="00310D35">
      <w:pPr>
        <w:rPr>
          <w:rFonts w:ascii="Lato" w:hAnsi="Lato"/>
          <w:sz w:val="24"/>
          <w:szCs w:val="24"/>
        </w:rPr>
      </w:pPr>
    </w:p>
    <w:p w14:paraId="21B7441C" w14:textId="0EBCB17A" w:rsidR="00310D35" w:rsidRPr="00E03F20" w:rsidRDefault="00310D35" w:rsidP="00310D35">
      <w:pPr>
        <w:rPr>
          <w:rFonts w:ascii="Lato" w:hAnsi="Lato"/>
          <w:sz w:val="24"/>
          <w:szCs w:val="24"/>
        </w:rPr>
      </w:pPr>
      <w:r w:rsidRPr="00E03F20">
        <w:rPr>
          <w:rFonts w:ascii="Lato" w:hAnsi="Lato"/>
          <w:sz w:val="24"/>
          <w:szCs w:val="24"/>
        </w:rPr>
        <w:t xml:space="preserve">          </w:t>
      </w:r>
    </w:p>
    <w:sectPr w:rsidR="00310D35" w:rsidRPr="00E03F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2E4C2" w14:textId="77777777" w:rsidR="001907C7" w:rsidRDefault="001907C7" w:rsidP="00BB4B3F">
      <w:r>
        <w:separator/>
      </w:r>
    </w:p>
  </w:endnote>
  <w:endnote w:type="continuationSeparator" w:id="0">
    <w:p w14:paraId="1B860F48" w14:textId="77777777" w:rsidR="001907C7" w:rsidRDefault="001907C7" w:rsidP="00BB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00F99" w14:textId="77777777" w:rsidR="00E03F20" w:rsidRDefault="00E03F2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EFD85C6" w14:textId="77777777" w:rsidR="00E03F20" w:rsidRDefault="00E0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6F559" w14:textId="77777777" w:rsidR="001907C7" w:rsidRDefault="001907C7" w:rsidP="00BB4B3F">
      <w:r>
        <w:separator/>
      </w:r>
    </w:p>
  </w:footnote>
  <w:footnote w:type="continuationSeparator" w:id="0">
    <w:p w14:paraId="0CB66632" w14:textId="77777777" w:rsidR="001907C7" w:rsidRDefault="001907C7" w:rsidP="00BB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064C1"/>
    <w:multiLevelType w:val="hybridMultilevel"/>
    <w:tmpl w:val="8DDEE71A"/>
    <w:lvl w:ilvl="0" w:tplc="8D5219BC">
      <w:start w:val="6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EE524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A03"/>
    <w:rsid w:val="00012A03"/>
    <w:rsid w:val="0008422E"/>
    <w:rsid w:val="000A3C35"/>
    <w:rsid w:val="000E4B00"/>
    <w:rsid w:val="000E7D87"/>
    <w:rsid w:val="001907C7"/>
    <w:rsid w:val="00256270"/>
    <w:rsid w:val="002D1705"/>
    <w:rsid w:val="002D5D7B"/>
    <w:rsid w:val="00310D35"/>
    <w:rsid w:val="004263AE"/>
    <w:rsid w:val="00456CF8"/>
    <w:rsid w:val="0045791B"/>
    <w:rsid w:val="004B6494"/>
    <w:rsid w:val="00524515"/>
    <w:rsid w:val="005D6CB4"/>
    <w:rsid w:val="005F5447"/>
    <w:rsid w:val="00625920"/>
    <w:rsid w:val="006346A3"/>
    <w:rsid w:val="007E624A"/>
    <w:rsid w:val="00813E11"/>
    <w:rsid w:val="00907FC9"/>
    <w:rsid w:val="00A253C7"/>
    <w:rsid w:val="00A45591"/>
    <w:rsid w:val="00AA192D"/>
    <w:rsid w:val="00B1367F"/>
    <w:rsid w:val="00B2170B"/>
    <w:rsid w:val="00BB4B3F"/>
    <w:rsid w:val="00C252B9"/>
    <w:rsid w:val="00DE0856"/>
    <w:rsid w:val="00E0243B"/>
    <w:rsid w:val="00E03F20"/>
    <w:rsid w:val="00F51E95"/>
    <w:rsid w:val="00FC00D6"/>
    <w:rsid w:val="00FE02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03"/>
    <w:pPr>
      <w:spacing w:after="0" w:line="240" w:lineRule="auto"/>
    </w:pPr>
    <w:rPr>
      <w:rFonts w:ascii="CG Times" w:eastAsia="Times New Roman" w:hAnsi="CG 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A0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DE0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856"/>
    <w:rPr>
      <w:rFonts w:ascii="Segoe UI" w:eastAsia="Times New Roman" w:hAnsi="Segoe UI" w:cs="Segoe UI"/>
      <w:sz w:val="18"/>
      <w:szCs w:val="18"/>
      <w:lang w:val="en-US"/>
    </w:rPr>
  </w:style>
  <w:style w:type="paragraph" w:styleId="ListParagraph">
    <w:name w:val="List Paragraph"/>
    <w:basedOn w:val="Normal"/>
    <w:uiPriority w:val="34"/>
    <w:qFormat/>
    <w:rsid w:val="000E7D87"/>
    <w:pPr>
      <w:ind w:left="720"/>
      <w:contextualSpacing/>
    </w:pPr>
  </w:style>
  <w:style w:type="paragraph" w:styleId="Header">
    <w:name w:val="header"/>
    <w:basedOn w:val="Normal"/>
    <w:link w:val="HeaderChar"/>
    <w:uiPriority w:val="99"/>
    <w:unhideWhenUsed/>
    <w:rsid w:val="00BB4B3F"/>
    <w:pPr>
      <w:tabs>
        <w:tab w:val="center" w:pos="4513"/>
        <w:tab w:val="right" w:pos="9026"/>
      </w:tabs>
    </w:pPr>
  </w:style>
  <w:style w:type="character" w:customStyle="1" w:styleId="HeaderChar">
    <w:name w:val="Header Char"/>
    <w:basedOn w:val="DefaultParagraphFont"/>
    <w:link w:val="Header"/>
    <w:uiPriority w:val="99"/>
    <w:rsid w:val="00BB4B3F"/>
    <w:rPr>
      <w:rFonts w:ascii="CG Times" w:eastAsia="Times New Roman" w:hAnsi="CG Times" w:cs="Times New Roman"/>
      <w:sz w:val="20"/>
      <w:szCs w:val="20"/>
      <w:lang w:val="en-US"/>
    </w:rPr>
  </w:style>
  <w:style w:type="paragraph" w:styleId="Footer">
    <w:name w:val="footer"/>
    <w:basedOn w:val="Normal"/>
    <w:link w:val="FooterChar"/>
    <w:uiPriority w:val="99"/>
    <w:unhideWhenUsed/>
    <w:rsid w:val="00BB4B3F"/>
    <w:pPr>
      <w:tabs>
        <w:tab w:val="center" w:pos="4513"/>
        <w:tab w:val="right" w:pos="9026"/>
      </w:tabs>
    </w:pPr>
  </w:style>
  <w:style w:type="character" w:customStyle="1" w:styleId="FooterChar">
    <w:name w:val="Footer Char"/>
    <w:basedOn w:val="DefaultParagraphFont"/>
    <w:link w:val="Footer"/>
    <w:uiPriority w:val="99"/>
    <w:rsid w:val="00BB4B3F"/>
    <w:rPr>
      <w:rFonts w:ascii="CG Times" w:eastAsia="Times New Roman" w:hAnsi="CG Times" w:cs="Times New Roman"/>
      <w:sz w:val="20"/>
      <w:szCs w:val="20"/>
      <w:lang w:val="en-US"/>
    </w:rPr>
  </w:style>
  <w:style w:type="character" w:styleId="CommentReference">
    <w:name w:val="annotation reference"/>
    <w:basedOn w:val="DefaultParagraphFont"/>
    <w:uiPriority w:val="99"/>
    <w:semiHidden/>
    <w:unhideWhenUsed/>
    <w:rsid w:val="00456CF8"/>
    <w:rPr>
      <w:sz w:val="16"/>
      <w:szCs w:val="16"/>
    </w:rPr>
  </w:style>
  <w:style w:type="paragraph" w:styleId="CommentText">
    <w:name w:val="annotation text"/>
    <w:basedOn w:val="Normal"/>
    <w:link w:val="CommentTextChar"/>
    <w:uiPriority w:val="99"/>
    <w:semiHidden/>
    <w:unhideWhenUsed/>
    <w:rsid w:val="00456CF8"/>
  </w:style>
  <w:style w:type="character" w:customStyle="1" w:styleId="CommentTextChar">
    <w:name w:val="Comment Text Char"/>
    <w:basedOn w:val="DefaultParagraphFont"/>
    <w:link w:val="CommentText"/>
    <w:uiPriority w:val="99"/>
    <w:semiHidden/>
    <w:rsid w:val="00456CF8"/>
    <w:rPr>
      <w:rFonts w:ascii="CG Times" w:eastAsia="Times New Roman" w:hAnsi="CG 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6CF8"/>
    <w:rPr>
      <w:b/>
      <w:bCs/>
    </w:rPr>
  </w:style>
  <w:style w:type="character" w:customStyle="1" w:styleId="CommentSubjectChar">
    <w:name w:val="Comment Subject Char"/>
    <w:basedOn w:val="CommentTextChar"/>
    <w:link w:val="CommentSubject"/>
    <w:uiPriority w:val="99"/>
    <w:semiHidden/>
    <w:rsid w:val="00456CF8"/>
    <w:rPr>
      <w:rFonts w:ascii="CG Times" w:eastAsia="Times New Roman" w:hAnsi="CG Times" w:cs="Times New Roman"/>
      <w:b/>
      <w:bCs/>
      <w:sz w:val="20"/>
      <w:szCs w:val="20"/>
      <w:lang w:val="en-US"/>
    </w:rPr>
  </w:style>
  <w:style w:type="paragraph" w:styleId="Title">
    <w:name w:val="Title"/>
    <w:basedOn w:val="Normal"/>
    <w:next w:val="Normal"/>
    <w:link w:val="TitleChar"/>
    <w:uiPriority w:val="10"/>
    <w:qFormat/>
    <w:rsid w:val="00E03F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F20"/>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BE6D-1937-4222-9B0A-5F69F225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2020-05-16T13:09:00Z</dcterms:created>
  <dcterms:modified xsi:type="dcterms:W3CDTF">2020-05-16T13:09:00Z</dcterms:modified>
</cp:coreProperties>
</file>